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C8C4B" w14:textId="77777777" w:rsidR="00AB0A1E" w:rsidRPr="004F7559" w:rsidRDefault="00AB0A1E" w:rsidP="00AB0A1E">
      <w:pPr>
        <w:pStyle w:val="NoSpacing"/>
        <w:jc w:val="center"/>
        <w:rPr>
          <w:rFonts w:ascii="Times New Roman" w:hAnsi="Times New Roman" w:cs="Times New Roman"/>
          <w:b/>
        </w:rPr>
      </w:pPr>
      <w:r w:rsidRPr="004F7559">
        <w:rPr>
          <w:rFonts w:ascii="Times New Roman" w:hAnsi="Times New Roman" w:cs="Times New Roman"/>
          <w:b/>
        </w:rPr>
        <w:t>Transportation Demand Management Coordinating Committee</w:t>
      </w:r>
    </w:p>
    <w:p w14:paraId="440EDDBB" w14:textId="77777777" w:rsidR="00AB0A1E" w:rsidRPr="004F7559" w:rsidRDefault="00AB0A1E" w:rsidP="00AB0A1E">
      <w:pPr>
        <w:pStyle w:val="NoSpacing"/>
        <w:tabs>
          <w:tab w:val="left" w:pos="7736"/>
        </w:tabs>
        <w:rPr>
          <w:rFonts w:ascii="Times New Roman" w:hAnsi="Times New Roman" w:cs="Times New Roman"/>
          <w:i/>
        </w:rPr>
      </w:pPr>
      <w:r w:rsidRPr="004F7559">
        <w:rPr>
          <w:rFonts w:ascii="Times New Roman" w:hAnsi="Times New Roman" w:cs="Times New Roman"/>
          <w:i/>
        </w:rPr>
        <w:tab/>
      </w:r>
    </w:p>
    <w:p w14:paraId="095D2987" w14:textId="45340A37" w:rsidR="00AB0A1E" w:rsidRPr="004F7559" w:rsidRDefault="00AB0A1E" w:rsidP="00AB0A1E">
      <w:pPr>
        <w:pStyle w:val="NoSpacing"/>
        <w:jc w:val="center"/>
        <w:rPr>
          <w:rFonts w:ascii="Times New Roman" w:hAnsi="Times New Roman" w:cs="Times New Roman"/>
          <w:b/>
        </w:rPr>
      </w:pPr>
      <w:r w:rsidRPr="004F7559">
        <w:rPr>
          <w:rFonts w:ascii="Times New Roman" w:hAnsi="Times New Roman" w:cs="Times New Roman"/>
          <w:b/>
        </w:rPr>
        <w:t xml:space="preserve">Tuesday, </w:t>
      </w:r>
      <w:r w:rsidR="004F1AA4">
        <w:rPr>
          <w:rFonts w:ascii="Times New Roman" w:hAnsi="Times New Roman" w:cs="Times New Roman"/>
          <w:b/>
        </w:rPr>
        <w:t>October 18</w:t>
      </w:r>
      <w:r w:rsidRPr="004F7559">
        <w:rPr>
          <w:rFonts w:ascii="Times New Roman" w:hAnsi="Times New Roman" w:cs="Times New Roman"/>
          <w:b/>
        </w:rPr>
        <w:t>, 202</w:t>
      </w:r>
      <w:r w:rsidR="00E82E04">
        <w:rPr>
          <w:rFonts w:ascii="Times New Roman" w:hAnsi="Times New Roman" w:cs="Times New Roman"/>
          <w:b/>
        </w:rPr>
        <w:t>2</w:t>
      </w:r>
    </w:p>
    <w:p w14:paraId="560EC44F" w14:textId="05B35CD1" w:rsidR="00AB0A1E" w:rsidRDefault="00AB0A1E" w:rsidP="00AB0A1E">
      <w:pPr>
        <w:pStyle w:val="NoSpacing"/>
        <w:jc w:val="center"/>
        <w:rPr>
          <w:rFonts w:ascii="Times New Roman" w:hAnsi="Times New Roman" w:cs="Times New Roman"/>
          <w:b/>
        </w:rPr>
      </w:pPr>
      <w:r w:rsidRPr="004F7559">
        <w:rPr>
          <w:rFonts w:ascii="Times New Roman" w:hAnsi="Times New Roman" w:cs="Times New Roman"/>
          <w:b/>
        </w:rPr>
        <w:t>9:</w:t>
      </w:r>
      <w:r w:rsidR="004F1AA4">
        <w:rPr>
          <w:rFonts w:ascii="Times New Roman" w:hAnsi="Times New Roman" w:cs="Times New Roman"/>
          <w:b/>
        </w:rPr>
        <w:t>0</w:t>
      </w:r>
      <w:r w:rsidRPr="004F7559">
        <w:rPr>
          <w:rFonts w:ascii="Times New Roman" w:hAnsi="Times New Roman" w:cs="Times New Roman"/>
          <w:b/>
        </w:rPr>
        <w:t xml:space="preserve">0 a.m. – </w:t>
      </w:r>
      <w:r w:rsidR="004F1AA4">
        <w:rPr>
          <w:rFonts w:ascii="Times New Roman" w:hAnsi="Times New Roman" w:cs="Times New Roman"/>
          <w:b/>
        </w:rPr>
        <w:t>3</w:t>
      </w:r>
      <w:r w:rsidR="00BC251F">
        <w:rPr>
          <w:rFonts w:ascii="Times New Roman" w:hAnsi="Times New Roman" w:cs="Times New Roman"/>
          <w:b/>
        </w:rPr>
        <w:t>:00</w:t>
      </w:r>
      <w:r w:rsidRPr="004F7559">
        <w:rPr>
          <w:rFonts w:ascii="Times New Roman" w:hAnsi="Times New Roman" w:cs="Times New Roman"/>
          <w:b/>
        </w:rPr>
        <w:t xml:space="preserve"> </w:t>
      </w:r>
      <w:r w:rsidR="00E82E04">
        <w:rPr>
          <w:rFonts w:ascii="Times New Roman" w:hAnsi="Times New Roman" w:cs="Times New Roman"/>
          <w:b/>
        </w:rPr>
        <w:t>p</w:t>
      </w:r>
      <w:r w:rsidRPr="004F7559">
        <w:rPr>
          <w:rFonts w:ascii="Times New Roman" w:hAnsi="Times New Roman" w:cs="Times New Roman"/>
          <w:b/>
        </w:rPr>
        <w:t>.m.</w:t>
      </w:r>
    </w:p>
    <w:p w14:paraId="5106D97F" w14:textId="53DD22BE" w:rsidR="00AB0A1E" w:rsidRDefault="00DD08BE" w:rsidP="00AB0A1E">
      <w:pPr>
        <w:pStyle w:val="NoSpacing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Centergy</w:t>
      </w:r>
      <w:proofErr w:type="spellEnd"/>
      <w:r>
        <w:rPr>
          <w:rFonts w:ascii="Times New Roman" w:hAnsi="Times New Roman" w:cs="Times New Roman"/>
          <w:b/>
        </w:rPr>
        <w:t xml:space="preserve"> Building</w:t>
      </w:r>
      <w:r w:rsidR="00ED4B59">
        <w:rPr>
          <w:rFonts w:ascii="Times New Roman" w:hAnsi="Times New Roman" w:cs="Times New Roman"/>
          <w:b/>
        </w:rPr>
        <w:t xml:space="preserve"> Economic Development Lab</w:t>
      </w:r>
      <w:r w:rsidRPr="00DD08BE">
        <w:rPr>
          <w:rFonts w:ascii="Times New Roman" w:hAnsi="Times New Roman" w:cs="Times New Roman"/>
          <w:b/>
        </w:rPr>
        <w:t xml:space="preserve"> (75 Fifth St. NW Atlanta, GA 30308)</w:t>
      </w:r>
    </w:p>
    <w:p w14:paraId="658AA85D" w14:textId="77777777" w:rsidR="00ED4B59" w:rsidRPr="004F7559" w:rsidRDefault="00ED4B59" w:rsidP="00AB0A1E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999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0"/>
        <w:gridCol w:w="4500"/>
      </w:tblGrid>
      <w:tr w:rsidR="00AB0A1E" w:rsidRPr="004F7559" w14:paraId="0CBA6521" w14:textId="77777777" w:rsidTr="004F7559">
        <w:tc>
          <w:tcPr>
            <w:tcW w:w="5490" w:type="dxa"/>
          </w:tcPr>
          <w:p w14:paraId="0ED2AC0A" w14:textId="4FB8E71F" w:rsidR="00AB0A1E" w:rsidRPr="004F7559" w:rsidRDefault="00AB0A1E" w:rsidP="00CF33D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559">
              <w:rPr>
                <w:rFonts w:ascii="Times New Roman" w:hAnsi="Times New Roman" w:cs="Times New Roman"/>
                <w:b/>
                <w:sz w:val="24"/>
                <w:szCs w:val="24"/>
              </w:rPr>
              <w:t>Members Present</w:t>
            </w:r>
          </w:p>
        </w:tc>
        <w:tc>
          <w:tcPr>
            <w:tcW w:w="4500" w:type="dxa"/>
          </w:tcPr>
          <w:p w14:paraId="431EB960" w14:textId="77777777" w:rsidR="00AB0A1E" w:rsidRPr="004F7559" w:rsidRDefault="00AB0A1E" w:rsidP="00CF33D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559">
              <w:rPr>
                <w:rFonts w:ascii="Times New Roman" w:hAnsi="Times New Roman" w:cs="Times New Roman"/>
                <w:b/>
                <w:sz w:val="24"/>
                <w:szCs w:val="24"/>
              </w:rPr>
              <w:t>Members Absent</w:t>
            </w:r>
          </w:p>
        </w:tc>
      </w:tr>
      <w:tr w:rsidR="00AB0A1E" w:rsidRPr="004F7559" w14:paraId="6F4E1647" w14:textId="77777777" w:rsidTr="004F7559">
        <w:tc>
          <w:tcPr>
            <w:tcW w:w="5490" w:type="dxa"/>
          </w:tcPr>
          <w:p w14:paraId="43ED9E4E" w14:textId="14229ECD" w:rsidR="00DF418C" w:rsidRDefault="00DF418C" w:rsidP="004566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9">
              <w:rPr>
                <w:rFonts w:ascii="Times New Roman" w:hAnsi="Times New Roman" w:cs="Times New Roman"/>
                <w:sz w:val="24"/>
                <w:szCs w:val="24"/>
              </w:rPr>
              <w:t>Thomas Cerny, AECOM</w:t>
            </w:r>
          </w:p>
          <w:p w14:paraId="6E7D8CC4" w14:textId="5F3A4808" w:rsidR="00B254E5" w:rsidRPr="00F32819" w:rsidRDefault="00B254E5" w:rsidP="00B254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Aileen Daney</w:t>
            </w:r>
            <w:r w:rsidRPr="004F7559">
              <w:rPr>
                <w:rFonts w:ascii="Times New Roman" w:hAnsi="Times New Roman" w:cs="Times New Roman"/>
                <w:sz w:val="24"/>
                <w:szCs w:val="24"/>
              </w:rPr>
              <w:t>, ATL</w:t>
            </w:r>
            <w:r w:rsidR="006E7186">
              <w:rPr>
                <w:rFonts w:ascii="Times New Roman" w:hAnsi="Times New Roman" w:cs="Times New Roman"/>
                <w:sz w:val="24"/>
                <w:szCs w:val="24"/>
              </w:rPr>
              <w:t xml:space="preserve"> (Scott Haggard)</w:t>
            </w:r>
          </w:p>
          <w:p w14:paraId="41E97C29" w14:textId="25BCA04B" w:rsidR="00CA511F" w:rsidRDefault="00CA511F" w:rsidP="004566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9">
              <w:rPr>
                <w:rFonts w:ascii="Times New Roman" w:hAnsi="Times New Roman" w:cs="Times New Roman"/>
                <w:sz w:val="24"/>
                <w:szCs w:val="24"/>
              </w:rPr>
              <w:t>Daniel Dolder, GDOT</w:t>
            </w:r>
          </w:p>
          <w:p w14:paraId="24BFBB76" w14:textId="465C2C4B" w:rsidR="00822532" w:rsidRDefault="00822532" w:rsidP="004566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9">
              <w:rPr>
                <w:rFonts w:ascii="Times New Roman" w:hAnsi="Times New Roman" w:cs="Times New Roman"/>
                <w:sz w:val="24"/>
                <w:szCs w:val="24"/>
              </w:rPr>
              <w:t xml:space="preserve">Joddie Gray, </w:t>
            </w:r>
            <w:proofErr w:type="spellStart"/>
            <w:r w:rsidRPr="004F7559">
              <w:rPr>
                <w:rFonts w:ascii="Times New Roman" w:hAnsi="Times New Roman" w:cs="Times New Roman"/>
                <w:sz w:val="24"/>
                <w:szCs w:val="24"/>
              </w:rPr>
              <w:t>UrbanTrans</w:t>
            </w:r>
            <w:proofErr w:type="spellEnd"/>
          </w:p>
          <w:p w14:paraId="3782168F" w14:textId="77777777" w:rsidR="00547C65" w:rsidRPr="004F7559" w:rsidRDefault="00547C65" w:rsidP="00547C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9">
              <w:rPr>
                <w:rFonts w:ascii="Times New Roman" w:hAnsi="Times New Roman" w:cs="Times New Roman"/>
                <w:sz w:val="24"/>
                <w:szCs w:val="24"/>
              </w:rPr>
              <w:t>Denise W. Starling, Livable Buckhead</w:t>
            </w:r>
          </w:p>
          <w:p w14:paraId="08F94E91" w14:textId="0DACC6D2" w:rsidR="002C381E" w:rsidRPr="004F7559" w:rsidRDefault="002C381E" w:rsidP="002C38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9">
              <w:rPr>
                <w:rFonts w:ascii="Times New Roman" w:hAnsi="Times New Roman" w:cs="Times New Roman"/>
                <w:sz w:val="24"/>
                <w:szCs w:val="24"/>
              </w:rPr>
              <w:t>Michele Wynn, City of Atlant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7A33080F" w14:textId="77777777" w:rsidR="00ED4B59" w:rsidRDefault="00ED4B59" w:rsidP="00ED4B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9">
              <w:rPr>
                <w:rFonts w:ascii="Times New Roman" w:hAnsi="Times New Roman" w:cs="Times New Roman"/>
                <w:sz w:val="24"/>
                <w:szCs w:val="24"/>
              </w:rPr>
              <w:t>Habte Kassa, GDOT</w:t>
            </w:r>
          </w:p>
          <w:p w14:paraId="12C91C44" w14:textId="77777777" w:rsidR="00ED4B59" w:rsidRPr="004F7559" w:rsidRDefault="00ED4B59" w:rsidP="00ED4B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9">
              <w:rPr>
                <w:rFonts w:ascii="Times New Roman" w:hAnsi="Times New Roman" w:cs="Times New Roman"/>
                <w:sz w:val="24"/>
                <w:szCs w:val="24"/>
              </w:rPr>
              <w:t xml:space="preserve">Patricia </w:t>
            </w:r>
            <w:proofErr w:type="spellStart"/>
            <w:r w:rsidRPr="004F7559">
              <w:rPr>
                <w:rFonts w:ascii="Times New Roman" w:hAnsi="Times New Roman" w:cs="Times New Roman"/>
                <w:sz w:val="24"/>
                <w:szCs w:val="24"/>
              </w:rPr>
              <w:t>Mokhtarian</w:t>
            </w:r>
            <w:proofErr w:type="spellEnd"/>
            <w:r w:rsidRPr="004F7559">
              <w:rPr>
                <w:rFonts w:ascii="Times New Roman" w:hAnsi="Times New Roman" w:cs="Times New Roman"/>
                <w:sz w:val="24"/>
                <w:szCs w:val="24"/>
              </w:rPr>
              <w:t>, GA Tech</w:t>
            </w:r>
          </w:p>
          <w:p w14:paraId="23EA7F4E" w14:textId="77777777" w:rsidR="00ED4B59" w:rsidRDefault="00ED4B59" w:rsidP="00ED4B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9">
              <w:rPr>
                <w:rFonts w:ascii="Times New Roman" w:hAnsi="Times New Roman" w:cs="Times New Roman"/>
                <w:sz w:val="24"/>
                <w:szCs w:val="24"/>
              </w:rPr>
              <w:t>Shayna Pollock, Central Atlanta Progress</w:t>
            </w:r>
          </w:p>
          <w:p w14:paraId="017774AE" w14:textId="77777777" w:rsidR="006E7186" w:rsidRDefault="006E7186" w:rsidP="006E71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9">
              <w:rPr>
                <w:rFonts w:ascii="Times New Roman" w:hAnsi="Times New Roman" w:cs="Times New Roman"/>
                <w:sz w:val="24"/>
                <w:szCs w:val="24"/>
              </w:rPr>
              <w:t>Jeffrey Elsey (Smith), Kimley-Horn</w:t>
            </w:r>
          </w:p>
          <w:p w14:paraId="0E0FA353" w14:textId="7CDC8E46" w:rsidR="002C381E" w:rsidRDefault="002C5106" w:rsidP="00C548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 Kelly</w:t>
            </w:r>
            <w:r w:rsidR="00952F31">
              <w:rPr>
                <w:rFonts w:ascii="Times New Roman" w:hAnsi="Times New Roman" w:cs="Times New Roman"/>
                <w:sz w:val="24"/>
                <w:szCs w:val="24"/>
              </w:rPr>
              <w:t>, Midtown Alliance (Dan Hourigan)</w:t>
            </w:r>
          </w:p>
          <w:p w14:paraId="5BC8E660" w14:textId="20226D80" w:rsidR="00AF117D" w:rsidRPr="00FF7D75" w:rsidRDefault="00AF117D" w:rsidP="00C548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30C617BA" w14:textId="2FD625A6" w:rsidR="000B2B8A" w:rsidRPr="004F7559" w:rsidRDefault="000B2B8A" w:rsidP="00CF33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Tamara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Cristion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FH</w:t>
            </w:r>
            <w:r w:rsidR="002F3B72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6E8A53A6" w14:textId="1F6D98D8" w:rsidR="006A5844" w:rsidRDefault="006A5844" w:rsidP="006A58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9">
              <w:rPr>
                <w:rFonts w:ascii="Times New Roman" w:hAnsi="Times New Roman" w:cs="Times New Roman"/>
                <w:sz w:val="24"/>
                <w:szCs w:val="24"/>
              </w:rPr>
              <w:t>Katrina DeBerry, Community Foundation for Greater Atlanta</w:t>
            </w:r>
          </w:p>
          <w:p w14:paraId="08864D15" w14:textId="074036AA" w:rsidR="002C381E" w:rsidRDefault="00AB0A1E" w:rsidP="00CF33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9">
              <w:rPr>
                <w:rFonts w:ascii="Times New Roman" w:hAnsi="Times New Roman" w:cs="Times New Roman"/>
                <w:sz w:val="24"/>
                <w:szCs w:val="24"/>
              </w:rPr>
              <w:t xml:space="preserve">Aaron Fowler, </w:t>
            </w:r>
            <w:r w:rsidR="00474BDD">
              <w:rPr>
                <w:rFonts w:ascii="Times New Roman" w:hAnsi="Times New Roman" w:cs="Times New Roman"/>
                <w:sz w:val="24"/>
                <w:szCs w:val="24"/>
              </w:rPr>
              <w:t>GA Tech</w:t>
            </w:r>
          </w:p>
          <w:p w14:paraId="46226F9F" w14:textId="423E41B8" w:rsidR="002D6E01" w:rsidRPr="00F32819" w:rsidRDefault="000640B9" w:rsidP="002D6E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Gerald McDowell</w:t>
            </w:r>
            <w:r w:rsidR="002D6E01" w:rsidRPr="00F32819">
              <w:rPr>
                <w:rFonts w:ascii="Times New Roman" w:hAnsi="Times New Roman" w:cs="Times New Roman"/>
                <w:sz w:val="24"/>
                <w:szCs w:val="24"/>
              </w:rPr>
              <w:t>, Aerotropolis CID</w:t>
            </w:r>
          </w:p>
          <w:p w14:paraId="03AEDB62" w14:textId="14305568" w:rsidR="00AB0A1E" w:rsidRDefault="00AB0A1E" w:rsidP="00CF33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9">
              <w:rPr>
                <w:rFonts w:ascii="Times New Roman" w:hAnsi="Times New Roman" w:cs="Times New Roman"/>
                <w:sz w:val="24"/>
                <w:szCs w:val="24"/>
              </w:rPr>
              <w:t>Kirsten Mote, Modern Mobility Partners</w:t>
            </w:r>
          </w:p>
          <w:p w14:paraId="4EBC5F9B" w14:textId="77777777" w:rsidR="002D6E01" w:rsidRPr="004F7559" w:rsidRDefault="002D6E01" w:rsidP="002D6E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9">
              <w:rPr>
                <w:rFonts w:ascii="Times New Roman" w:hAnsi="Times New Roman" w:cs="Times New Roman"/>
                <w:sz w:val="24"/>
                <w:szCs w:val="24"/>
              </w:rPr>
              <w:t>Ronald M. Roberts, Jr., Douglas County</w:t>
            </w:r>
          </w:p>
          <w:p w14:paraId="665FF2EB" w14:textId="00F2B504" w:rsidR="00AB0A1E" w:rsidRPr="004F7559" w:rsidRDefault="00AB0A1E" w:rsidP="00CF33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9">
              <w:rPr>
                <w:rFonts w:ascii="Times New Roman" w:hAnsi="Times New Roman" w:cs="Times New Roman"/>
                <w:sz w:val="24"/>
                <w:szCs w:val="24"/>
              </w:rPr>
              <w:t>Kirk Talbott, MARTA</w:t>
            </w:r>
          </w:p>
          <w:p w14:paraId="4C26FB47" w14:textId="32CD2490" w:rsidR="002D6E01" w:rsidRPr="004F7559" w:rsidRDefault="002D6E01" w:rsidP="00CF33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9">
              <w:rPr>
                <w:rFonts w:ascii="Times New Roman" w:hAnsi="Times New Roman" w:cs="Times New Roman"/>
                <w:sz w:val="24"/>
                <w:szCs w:val="24"/>
              </w:rPr>
              <w:t>Jerry Travers, Bank of America</w:t>
            </w:r>
          </w:p>
          <w:p w14:paraId="6DD30E5B" w14:textId="77777777" w:rsidR="006E7186" w:rsidRPr="004F7559" w:rsidRDefault="006E7186" w:rsidP="006E71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9">
              <w:rPr>
                <w:rFonts w:ascii="Times New Roman" w:hAnsi="Times New Roman" w:cs="Times New Roman"/>
                <w:sz w:val="24"/>
                <w:szCs w:val="24"/>
              </w:rPr>
              <w:t>Laura Beall, Cobb County DOT</w:t>
            </w:r>
          </w:p>
          <w:p w14:paraId="2F6B9F70" w14:textId="77777777" w:rsidR="006E7186" w:rsidRDefault="006E7186" w:rsidP="006E71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32819">
              <w:rPr>
                <w:rFonts w:ascii="Times New Roman" w:hAnsi="Times New Roman" w:cs="Times New Roman"/>
                <w:sz w:val="24"/>
                <w:szCs w:val="24"/>
              </w:rPr>
              <w:t>Gil Grodzinsky, GA EPD</w:t>
            </w:r>
          </w:p>
          <w:p w14:paraId="6760D146" w14:textId="77777777" w:rsidR="006E7186" w:rsidRDefault="006E7186" w:rsidP="006E71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9">
              <w:rPr>
                <w:rFonts w:ascii="Times New Roman" w:hAnsi="Times New Roman" w:cs="Times New Roman"/>
                <w:sz w:val="24"/>
                <w:szCs w:val="24"/>
              </w:rPr>
              <w:t>Scott Kemp, CDC</w:t>
            </w:r>
          </w:p>
          <w:p w14:paraId="084956DB" w14:textId="77777777" w:rsidR="006E7186" w:rsidRPr="004F7559" w:rsidRDefault="006E7186" w:rsidP="006E71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9">
              <w:rPr>
                <w:rFonts w:ascii="Times New Roman" w:hAnsi="Times New Roman" w:cs="Times New Roman"/>
                <w:sz w:val="24"/>
                <w:szCs w:val="24"/>
              </w:rPr>
              <w:t>Kay Sibetta, AARP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0D5775C7" w14:textId="77777777" w:rsidR="00AB0A1E" w:rsidRPr="004F7559" w:rsidRDefault="00AB0A1E" w:rsidP="00274DD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601EDFD" w14:textId="1725471E" w:rsidR="00AB0A1E" w:rsidRPr="004F7559" w:rsidRDefault="00AB0A1E" w:rsidP="00AB0A1E">
      <w:pPr>
        <w:pStyle w:val="Default"/>
        <w:numPr>
          <w:ilvl w:val="0"/>
          <w:numId w:val="1"/>
        </w:numPr>
        <w:rPr>
          <w:b/>
          <w:bCs/>
        </w:rPr>
      </w:pPr>
      <w:r w:rsidRPr="004F7559">
        <w:rPr>
          <w:b/>
          <w:bCs/>
        </w:rPr>
        <w:t>Welcome</w:t>
      </w:r>
      <w:r w:rsidR="00822532">
        <w:rPr>
          <w:b/>
          <w:bCs/>
        </w:rPr>
        <w:t xml:space="preserve">, Acceptance of </w:t>
      </w:r>
      <w:r w:rsidR="008D012D">
        <w:rPr>
          <w:b/>
          <w:bCs/>
        </w:rPr>
        <w:t xml:space="preserve">August </w:t>
      </w:r>
      <w:r w:rsidR="004879BC">
        <w:rPr>
          <w:b/>
          <w:bCs/>
        </w:rPr>
        <w:t>16</w:t>
      </w:r>
      <w:r w:rsidR="004879BC" w:rsidRPr="004879BC">
        <w:rPr>
          <w:b/>
          <w:bCs/>
          <w:vertAlign w:val="superscript"/>
        </w:rPr>
        <w:t>th</w:t>
      </w:r>
      <w:r w:rsidR="004879BC">
        <w:rPr>
          <w:b/>
          <w:bCs/>
        </w:rPr>
        <w:t xml:space="preserve"> </w:t>
      </w:r>
      <w:r w:rsidR="00652545">
        <w:rPr>
          <w:b/>
          <w:bCs/>
        </w:rPr>
        <w:t xml:space="preserve">TDMCC </w:t>
      </w:r>
      <w:r w:rsidR="00BF2576">
        <w:rPr>
          <w:b/>
          <w:bCs/>
        </w:rPr>
        <w:t xml:space="preserve">Meeting </w:t>
      </w:r>
      <w:r w:rsidR="00652545">
        <w:rPr>
          <w:b/>
          <w:bCs/>
        </w:rPr>
        <w:t xml:space="preserve">Summary, and </w:t>
      </w:r>
      <w:r w:rsidRPr="004F7559">
        <w:rPr>
          <w:b/>
          <w:bCs/>
        </w:rPr>
        <w:t>Public Comment Period</w:t>
      </w:r>
    </w:p>
    <w:p w14:paraId="351D908E" w14:textId="77777777" w:rsidR="004F7559" w:rsidRDefault="004F7559" w:rsidP="00AB0A1E">
      <w:pPr>
        <w:pStyle w:val="NoSpacing"/>
        <w:ind w:left="720"/>
        <w:rPr>
          <w:rFonts w:ascii="Times New Roman" w:hAnsi="Times New Roman" w:cs="Times New Roman"/>
        </w:rPr>
      </w:pPr>
    </w:p>
    <w:p w14:paraId="151AF0B3" w14:textId="096E868B" w:rsidR="00A643C7" w:rsidRDefault="00AB0A1E" w:rsidP="00AB0A1E">
      <w:pPr>
        <w:pStyle w:val="NoSpacing"/>
        <w:ind w:left="720"/>
        <w:rPr>
          <w:rFonts w:ascii="Times New Roman" w:hAnsi="Times New Roman" w:cs="Times New Roman"/>
        </w:rPr>
      </w:pPr>
      <w:r w:rsidRPr="004F7559">
        <w:rPr>
          <w:rFonts w:ascii="Times New Roman" w:hAnsi="Times New Roman" w:cs="Times New Roman"/>
        </w:rPr>
        <w:t xml:space="preserve">Roz Tucker, ARC, asked if there were any changes to the </w:t>
      </w:r>
      <w:r w:rsidR="004879BC">
        <w:rPr>
          <w:rFonts w:ascii="Times New Roman" w:hAnsi="Times New Roman" w:cs="Times New Roman"/>
        </w:rPr>
        <w:t>August 16</w:t>
      </w:r>
      <w:r w:rsidRPr="004F7559">
        <w:rPr>
          <w:rFonts w:ascii="Times New Roman" w:hAnsi="Times New Roman" w:cs="Times New Roman"/>
        </w:rPr>
        <w:t>, 202</w:t>
      </w:r>
      <w:r w:rsidR="007039BE">
        <w:rPr>
          <w:rFonts w:ascii="Times New Roman" w:hAnsi="Times New Roman" w:cs="Times New Roman"/>
        </w:rPr>
        <w:t>2</w:t>
      </w:r>
      <w:r w:rsidR="00A57A25">
        <w:rPr>
          <w:rFonts w:ascii="Times New Roman" w:hAnsi="Times New Roman" w:cs="Times New Roman"/>
        </w:rPr>
        <w:t>,</w:t>
      </w:r>
      <w:r w:rsidRPr="004F7559">
        <w:rPr>
          <w:rFonts w:ascii="Times New Roman" w:hAnsi="Times New Roman" w:cs="Times New Roman"/>
        </w:rPr>
        <w:t xml:space="preserve"> meeting minutes. Upon hearing no comments, the summary was accepted as presented. </w:t>
      </w:r>
    </w:p>
    <w:p w14:paraId="5F765957" w14:textId="77777777" w:rsidR="00A643C7" w:rsidRDefault="00A643C7" w:rsidP="00AB0A1E">
      <w:pPr>
        <w:pStyle w:val="NoSpacing"/>
        <w:ind w:left="720"/>
        <w:rPr>
          <w:rFonts w:ascii="Times New Roman" w:hAnsi="Times New Roman" w:cs="Times New Roman"/>
        </w:rPr>
      </w:pPr>
    </w:p>
    <w:p w14:paraId="7313FF4A" w14:textId="189A2A7D" w:rsidR="00AB0A1E" w:rsidRPr="004F7559" w:rsidRDefault="00AB0A1E" w:rsidP="00AB0A1E">
      <w:pPr>
        <w:pStyle w:val="NoSpacing"/>
        <w:ind w:left="720"/>
        <w:rPr>
          <w:rFonts w:ascii="Times New Roman" w:hAnsi="Times New Roman" w:cs="Times New Roman"/>
        </w:rPr>
      </w:pPr>
      <w:r w:rsidRPr="004F7559">
        <w:rPr>
          <w:rFonts w:ascii="Times New Roman" w:hAnsi="Times New Roman" w:cs="Times New Roman"/>
        </w:rPr>
        <w:t>There were no public comments</w:t>
      </w:r>
      <w:r w:rsidR="00FF018B">
        <w:rPr>
          <w:rFonts w:ascii="Times New Roman" w:hAnsi="Times New Roman" w:cs="Times New Roman"/>
        </w:rPr>
        <w:t xml:space="preserve">; however, it was noted that a committee member had submitted </w:t>
      </w:r>
      <w:r w:rsidR="00927B8B">
        <w:rPr>
          <w:rFonts w:ascii="Times New Roman" w:hAnsi="Times New Roman" w:cs="Times New Roman"/>
        </w:rPr>
        <w:t>feedback in advance</w:t>
      </w:r>
      <w:r w:rsidRPr="004F7559">
        <w:rPr>
          <w:rFonts w:ascii="Times New Roman" w:hAnsi="Times New Roman" w:cs="Times New Roman"/>
        </w:rPr>
        <w:t xml:space="preserve">. </w:t>
      </w:r>
    </w:p>
    <w:p w14:paraId="6135A7CD" w14:textId="77777777" w:rsidR="00AB0A1E" w:rsidRPr="004F7559" w:rsidRDefault="00AB0A1E" w:rsidP="00AB0A1E">
      <w:pPr>
        <w:pStyle w:val="NoSpacing"/>
        <w:rPr>
          <w:rFonts w:ascii="Times New Roman" w:hAnsi="Times New Roman" w:cs="Times New Roman"/>
        </w:rPr>
      </w:pPr>
    </w:p>
    <w:p w14:paraId="5A57DF4E" w14:textId="6EEB79E8" w:rsidR="00430D82" w:rsidRDefault="003C20AD" w:rsidP="00AB0A1E">
      <w:pPr>
        <w:pStyle w:val="Defaul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Innovation and </w:t>
      </w:r>
      <w:r w:rsidR="00FB0357">
        <w:rPr>
          <w:b/>
          <w:bCs/>
        </w:rPr>
        <w:t>Inclusivity</w:t>
      </w:r>
    </w:p>
    <w:p w14:paraId="319261E1" w14:textId="73AA65DF" w:rsidR="00CD6F1B" w:rsidRDefault="00CD6F1B" w:rsidP="00CD6F1B">
      <w:pPr>
        <w:pStyle w:val="Default"/>
        <w:ind w:left="720"/>
        <w:rPr>
          <w:b/>
          <w:bCs/>
        </w:rPr>
      </w:pPr>
    </w:p>
    <w:p w14:paraId="123FA516" w14:textId="53297AC4" w:rsidR="00997792" w:rsidRDefault="00FB0357" w:rsidP="00BF2942">
      <w:pPr>
        <w:pStyle w:val="Default"/>
        <w:ind w:left="720"/>
      </w:pPr>
      <w:r>
        <w:t>Polly Sattler</w:t>
      </w:r>
      <w:r w:rsidR="00FB586A">
        <w:t xml:space="preserve">, Strategic Relations Manager at the Partnership for Inclusive Innovation (PIN) provided </w:t>
      </w:r>
      <w:r w:rsidR="00E97033">
        <w:t xml:space="preserve">an overview of the program.  Based at Georgia Tech, the </w:t>
      </w:r>
      <w:r w:rsidR="00474BDD">
        <w:t>two-year-old</w:t>
      </w:r>
      <w:r w:rsidR="00E97033">
        <w:t xml:space="preserve"> </w:t>
      </w:r>
      <w:r w:rsidR="0073045E">
        <w:t xml:space="preserve">initiative seeks </w:t>
      </w:r>
      <w:r w:rsidR="009E7F3A">
        <w:t xml:space="preserve">to expand economic mobility across the state. </w:t>
      </w:r>
      <w:r w:rsidR="002B5DB0">
        <w:t xml:space="preserve">Utilizing principles of student engagement, workforce development, </w:t>
      </w:r>
      <w:r w:rsidR="009A3431">
        <w:t>community research and economic opportunit</w:t>
      </w:r>
      <w:r w:rsidR="00395A00">
        <w:t xml:space="preserve">y, the organization strives to support </w:t>
      </w:r>
      <w:r w:rsidR="000F24EB">
        <w:t xml:space="preserve">innovation that expands equity across geographic, </w:t>
      </w:r>
      <w:r w:rsidR="00631614">
        <w:t>racial, gender and socio-economic levels by lev</w:t>
      </w:r>
      <w:r w:rsidR="00D73310">
        <w:t xml:space="preserve">eraging </w:t>
      </w:r>
      <w:r w:rsidR="00094300">
        <w:t>funds and manpower.</w:t>
      </w:r>
    </w:p>
    <w:p w14:paraId="528A3295" w14:textId="77777777" w:rsidR="00BF2942" w:rsidRDefault="00BF2942" w:rsidP="00BF2942">
      <w:pPr>
        <w:pStyle w:val="Default"/>
        <w:ind w:left="720"/>
      </w:pPr>
    </w:p>
    <w:p w14:paraId="57D75120" w14:textId="787D3513" w:rsidR="007039BE" w:rsidRPr="007039BE" w:rsidRDefault="00094300" w:rsidP="007039BE">
      <w:pPr>
        <w:pStyle w:val="Defaul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Regional Economic Development Trends</w:t>
      </w:r>
    </w:p>
    <w:p w14:paraId="051A2A59" w14:textId="6B7A0193" w:rsidR="007039BE" w:rsidRDefault="007039BE" w:rsidP="007039BE">
      <w:pPr>
        <w:pStyle w:val="Default"/>
        <w:ind w:left="720"/>
        <w:rPr>
          <w:b/>
          <w:bCs/>
        </w:rPr>
      </w:pPr>
    </w:p>
    <w:p w14:paraId="229C58B3" w14:textId="456F22FA" w:rsidR="000E54E2" w:rsidRDefault="004042D2" w:rsidP="000E54E2">
      <w:pPr>
        <w:pStyle w:val="Default"/>
        <w:ind w:left="720"/>
      </w:pPr>
      <w:r>
        <w:t>Jennifer Zeller, Strategic Solutions Manager with Georgia Power’s Community and Economic Development team</w:t>
      </w:r>
      <w:r w:rsidR="0066667E">
        <w:t xml:space="preserve"> </w:t>
      </w:r>
      <w:r w:rsidR="00AC4F67">
        <w:t xml:space="preserve">presented information on current economic development efforts in the region and across the state. Recent trends have seen Georgia </w:t>
      </w:r>
      <w:r w:rsidR="00774414">
        <w:t xml:space="preserve">attracting a larger number of manufacturers and technology focused industries, as well as continued </w:t>
      </w:r>
      <w:r w:rsidR="00774414">
        <w:lastRenderedPageBreak/>
        <w:t>growth in the film</w:t>
      </w:r>
      <w:r w:rsidR="007925EE">
        <w:t xml:space="preserve"> industry.  The past year has been highly successful for the state in </w:t>
      </w:r>
      <w:r w:rsidR="00A90DFA">
        <w:t xml:space="preserve">securing </w:t>
      </w:r>
      <w:r w:rsidR="005612E8">
        <w:t>several</w:t>
      </w:r>
      <w:r w:rsidR="00A90DFA">
        <w:t xml:space="preserve"> projects that will each bring in 1,000+ jobs to communities.</w:t>
      </w:r>
    </w:p>
    <w:p w14:paraId="1111DD72" w14:textId="77777777" w:rsidR="0024207C" w:rsidRPr="00885D8A" w:rsidRDefault="0024207C" w:rsidP="0024207C">
      <w:pPr>
        <w:pStyle w:val="Default"/>
        <w:ind w:left="720"/>
      </w:pPr>
    </w:p>
    <w:p w14:paraId="75692358" w14:textId="4993EF14" w:rsidR="0024207C" w:rsidRDefault="00725010" w:rsidP="0024207C">
      <w:pPr>
        <w:pStyle w:val="Defaul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Incorporating Mindfulness into TDM</w:t>
      </w:r>
    </w:p>
    <w:p w14:paraId="5D7DEB5E" w14:textId="77777777" w:rsidR="0024207C" w:rsidRDefault="0024207C" w:rsidP="0024207C">
      <w:pPr>
        <w:pStyle w:val="Default"/>
      </w:pPr>
    </w:p>
    <w:p w14:paraId="1F4FC88A" w14:textId="3FC73416" w:rsidR="008E628E" w:rsidRDefault="00725010" w:rsidP="000E54E2">
      <w:pPr>
        <w:pStyle w:val="Default"/>
        <w:ind w:left="720"/>
      </w:pPr>
      <w:r>
        <w:t xml:space="preserve">Dr. Folashade Alao </w:t>
      </w:r>
      <w:r w:rsidR="00D81005">
        <w:t xml:space="preserve">shared information on the growing research and data related to the </w:t>
      </w:r>
      <w:r w:rsidR="00592720">
        <w:t>importance of mental well-being in the work</w:t>
      </w:r>
      <w:r w:rsidR="00697168">
        <w:t>place</w:t>
      </w:r>
      <w:r w:rsidR="00F310EA">
        <w:t xml:space="preserve"> and the impact mindfulness can have on focusing and accomplishing tasks.</w:t>
      </w:r>
      <w:r w:rsidR="006148B3">
        <w:t xml:space="preserve">  Stanford, UCLA, </w:t>
      </w:r>
      <w:proofErr w:type="gramStart"/>
      <w:r w:rsidR="006148B3">
        <w:t>Emory</w:t>
      </w:r>
      <w:proofErr w:type="gramEnd"/>
      <w:r w:rsidR="006148B3">
        <w:t xml:space="preserve"> and other institutions have expanded programs and research into the </w:t>
      </w:r>
      <w:r w:rsidR="00990DC8">
        <w:t xml:space="preserve">value of mindfulness as a component to </w:t>
      </w:r>
      <w:r w:rsidR="008E628E">
        <w:t>a healthy life.</w:t>
      </w:r>
      <w:r w:rsidR="00EB5576">
        <w:t xml:space="preserve">  </w:t>
      </w:r>
      <w:r w:rsidR="008E628E">
        <w:t>Dr. Alao demonstrated several technique</w:t>
      </w:r>
      <w:r w:rsidR="00EB5576">
        <w:t xml:space="preserve">s to achieve a state of mindfulness and bring more clarity and focus to </w:t>
      </w:r>
      <w:r w:rsidR="00D22A3E">
        <w:t>important work.</w:t>
      </w:r>
    </w:p>
    <w:p w14:paraId="58260A5B" w14:textId="46682125" w:rsidR="005612E8" w:rsidRDefault="005612E8" w:rsidP="000E54E2">
      <w:pPr>
        <w:pStyle w:val="Default"/>
        <w:ind w:left="720"/>
      </w:pPr>
    </w:p>
    <w:p w14:paraId="23CC6B59" w14:textId="0D9B3BA0" w:rsidR="005612E8" w:rsidRPr="001E3A9B" w:rsidRDefault="00BA3610" w:rsidP="00A51ECE">
      <w:pPr>
        <w:pStyle w:val="Default"/>
        <w:numPr>
          <w:ilvl w:val="0"/>
          <w:numId w:val="1"/>
        </w:numPr>
        <w:rPr>
          <w:b/>
          <w:bCs/>
        </w:rPr>
      </w:pPr>
      <w:r w:rsidRPr="001E3A9B">
        <w:rPr>
          <w:b/>
          <w:bCs/>
        </w:rPr>
        <w:t>TDM Plan Update: Overview &amp; Equity Analysis</w:t>
      </w:r>
    </w:p>
    <w:p w14:paraId="174B1DA7" w14:textId="77777777" w:rsidR="001E3A9B" w:rsidRDefault="001E3A9B" w:rsidP="001E3A9B">
      <w:pPr>
        <w:pStyle w:val="Default"/>
      </w:pPr>
    </w:p>
    <w:p w14:paraId="7F5634B7" w14:textId="1BE439DA" w:rsidR="0024207C" w:rsidRDefault="001E3A9B" w:rsidP="000E54E2">
      <w:pPr>
        <w:pStyle w:val="Default"/>
        <w:ind w:left="720"/>
      </w:pPr>
      <w:r>
        <w:t>Trac</w:t>
      </w:r>
      <w:r w:rsidR="00CF13B5">
        <w:t>y</w:t>
      </w:r>
      <w:r>
        <w:t xml:space="preserve"> </w:t>
      </w:r>
      <w:r w:rsidR="005C62E7">
        <w:t>Selin</w:t>
      </w:r>
      <w:r w:rsidR="004D36FF">
        <w:t xml:space="preserve"> with ICF</w:t>
      </w:r>
      <w:r w:rsidR="004B6D45">
        <w:t xml:space="preserve"> </w:t>
      </w:r>
      <w:r w:rsidR="00EF092E">
        <w:t>brought the committee up to date on the TDM Plan work to date</w:t>
      </w:r>
      <w:r w:rsidR="006610EE">
        <w:t xml:space="preserve"> including findings from the SWOT analysis, the plan goals, current strategy review</w:t>
      </w:r>
      <w:r w:rsidR="00AF28CE">
        <w:t xml:space="preserve"> and stakeholder engagement. Currently, </w:t>
      </w:r>
      <w:r w:rsidR="009E0521">
        <w:t xml:space="preserve">12 core strategy types, 40 collective strategies and seven </w:t>
      </w:r>
      <w:r w:rsidR="00DD1F3F">
        <w:t>ESOs were identified.</w:t>
      </w:r>
      <w:r w:rsidR="00406BA9">
        <w:t xml:space="preserve"> The work to date identified an additional 18 collective strategies </w:t>
      </w:r>
      <w:r w:rsidR="006475D2">
        <w:t>to be incorporated, along with three new core strategy types.</w:t>
      </w:r>
    </w:p>
    <w:p w14:paraId="337D745E" w14:textId="6EE5F770" w:rsidR="00F06725" w:rsidRDefault="00F06725" w:rsidP="000E54E2">
      <w:pPr>
        <w:pStyle w:val="Default"/>
        <w:ind w:left="720"/>
      </w:pPr>
    </w:p>
    <w:p w14:paraId="075273DC" w14:textId="390DEDE7" w:rsidR="00F06725" w:rsidRDefault="00F06725" w:rsidP="000E54E2">
      <w:pPr>
        <w:pStyle w:val="Default"/>
        <w:ind w:left="720"/>
      </w:pPr>
      <w:r>
        <w:t>Katie O’Sullivan</w:t>
      </w:r>
      <w:r w:rsidR="004D36FF">
        <w:t xml:space="preserve"> with ICF provided a review of the equity analysis performed, the </w:t>
      </w:r>
      <w:r w:rsidR="007C69D2">
        <w:t>methods utilized and the use of CEDS scoring</w:t>
      </w:r>
      <w:r w:rsidR="00C12939">
        <w:t xml:space="preserve"> in identifying areas that are not currently being serviced for TDM</w:t>
      </w:r>
      <w:r w:rsidR="00632BC4">
        <w:t xml:space="preserve">.  Additionally, O’Sullivan </w:t>
      </w:r>
      <w:r w:rsidR="007241EF">
        <w:t>gave a list of potential funding sources to expand TDM activities including: CMAQ; other USDOT formula funding</w:t>
      </w:r>
      <w:r w:rsidR="00613DFD">
        <w:t xml:space="preserve">; competitive federal grants; </w:t>
      </w:r>
      <w:r w:rsidR="0076462C">
        <w:t>IIJA; state of Georgia programs; philanthropic &amp; private sector</w:t>
      </w:r>
      <w:r w:rsidR="00023A73">
        <w:t>; and local funds.</w:t>
      </w:r>
    </w:p>
    <w:p w14:paraId="666C9507" w14:textId="6E9E0CC6" w:rsidR="00023A73" w:rsidRDefault="00023A73" w:rsidP="000E54E2">
      <w:pPr>
        <w:pStyle w:val="Default"/>
        <w:ind w:left="720"/>
      </w:pPr>
    </w:p>
    <w:p w14:paraId="405D02F6" w14:textId="25FB5C5C" w:rsidR="00023A73" w:rsidRPr="00654F5C" w:rsidRDefault="00654F5C" w:rsidP="00023A73">
      <w:pPr>
        <w:pStyle w:val="Default"/>
        <w:numPr>
          <w:ilvl w:val="0"/>
          <w:numId w:val="1"/>
        </w:numPr>
        <w:rPr>
          <w:b/>
          <w:bCs/>
        </w:rPr>
      </w:pPr>
      <w:r w:rsidRPr="00654F5C">
        <w:rPr>
          <w:b/>
          <w:bCs/>
        </w:rPr>
        <w:t>Teleworking in the Atlanta Region: Findings from a new survey</w:t>
      </w:r>
    </w:p>
    <w:p w14:paraId="37130958" w14:textId="705A393A" w:rsidR="00654F5C" w:rsidRDefault="00654F5C" w:rsidP="00654F5C">
      <w:pPr>
        <w:pStyle w:val="Default"/>
      </w:pPr>
    </w:p>
    <w:p w14:paraId="5052521E" w14:textId="050619CE" w:rsidR="00654F5C" w:rsidRDefault="00654F5C" w:rsidP="00654F5C">
      <w:pPr>
        <w:pStyle w:val="Default"/>
        <w:ind w:left="720"/>
      </w:pPr>
      <w:r>
        <w:t xml:space="preserve">Dr. Patricia </w:t>
      </w:r>
      <w:proofErr w:type="spellStart"/>
      <w:r>
        <w:t>Mokhtarian</w:t>
      </w:r>
      <w:proofErr w:type="spellEnd"/>
      <w:r>
        <w:t>, Professor of Civil &amp; Environmental Engineering at Georgia Tech</w:t>
      </w:r>
      <w:r w:rsidR="00730FEF">
        <w:t xml:space="preserve">, provided a </w:t>
      </w:r>
      <w:r w:rsidR="00EB31B8">
        <w:t>high-level</w:t>
      </w:r>
      <w:r w:rsidR="00730FEF">
        <w:t xml:space="preserve"> review of preliminary data compiled in the spring of 2022 focusing on current telework</w:t>
      </w:r>
      <w:r w:rsidR="00984670">
        <w:t xml:space="preserve"> trends in the region. The survey work was funding by GDOT and utilized a combination of Qualtrics</w:t>
      </w:r>
      <w:r w:rsidR="002B0538">
        <w:t xml:space="preserve"> on-line management as well as participants contented via email and </w:t>
      </w:r>
      <w:r w:rsidR="00FB79EC">
        <w:t xml:space="preserve">regular mail. Approximately one-third of the </w:t>
      </w:r>
      <w:r w:rsidR="00A92D3B">
        <w:t>18-county metro region could telework, while approximately two-thirds of the region’s jobs do not allow telework or are not suitable for telework (delivery, manufacturing, service, etc.)</w:t>
      </w:r>
      <w:r w:rsidR="00BB4AF2">
        <w:t xml:space="preserve">  </w:t>
      </w:r>
      <w:r w:rsidR="0037581A">
        <w:t>Final analysis of the data is in progress and a report will be published.</w:t>
      </w:r>
    </w:p>
    <w:p w14:paraId="72DB1589" w14:textId="59D623CD" w:rsidR="00B476C7" w:rsidRDefault="00B476C7" w:rsidP="00654F5C">
      <w:pPr>
        <w:pStyle w:val="Default"/>
        <w:ind w:left="720"/>
      </w:pPr>
    </w:p>
    <w:p w14:paraId="07285335" w14:textId="008539DB" w:rsidR="00B476C7" w:rsidRPr="006F5297" w:rsidRDefault="006F5297" w:rsidP="006F5297">
      <w:pPr>
        <w:pStyle w:val="Default"/>
        <w:numPr>
          <w:ilvl w:val="0"/>
          <w:numId w:val="1"/>
        </w:numPr>
        <w:rPr>
          <w:b/>
          <w:bCs/>
        </w:rPr>
      </w:pPr>
      <w:r w:rsidRPr="006F5297">
        <w:rPr>
          <w:b/>
          <w:bCs/>
        </w:rPr>
        <w:t xml:space="preserve">TDM Plan </w:t>
      </w:r>
      <w:r w:rsidR="009F74E6">
        <w:rPr>
          <w:b/>
          <w:bCs/>
        </w:rPr>
        <w:t>Work Groups</w:t>
      </w:r>
    </w:p>
    <w:p w14:paraId="5D693187" w14:textId="77777777" w:rsidR="006F5297" w:rsidRDefault="006F5297" w:rsidP="006F5297">
      <w:pPr>
        <w:pStyle w:val="Default"/>
        <w:ind w:left="360"/>
      </w:pPr>
    </w:p>
    <w:p w14:paraId="1D0C3467" w14:textId="68B22623" w:rsidR="00023A73" w:rsidRDefault="009F74E6" w:rsidP="000E54E2">
      <w:pPr>
        <w:pStyle w:val="Default"/>
        <w:ind w:left="720"/>
      </w:pPr>
      <w:r>
        <w:t xml:space="preserve">Meeting participants were divided into </w:t>
      </w:r>
      <w:r w:rsidR="00EB31B8">
        <w:t xml:space="preserve">smaller groups to further discuss items identified in the equity analysis and </w:t>
      </w:r>
      <w:r w:rsidR="00B8098C">
        <w:t>strategy review.  Each group took a specific item to discuss and brainstorm ideas</w:t>
      </w:r>
      <w:r w:rsidR="00B7374B">
        <w:t xml:space="preserve"> related to the potential work.</w:t>
      </w:r>
    </w:p>
    <w:p w14:paraId="2DDC094A" w14:textId="6D3974D2" w:rsidR="00885D8A" w:rsidRPr="00885D8A" w:rsidRDefault="00885D8A" w:rsidP="00885D8A">
      <w:pPr>
        <w:pStyle w:val="Default"/>
        <w:ind w:left="720"/>
      </w:pPr>
    </w:p>
    <w:p w14:paraId="36C21CC4" w14:textId="38353B87" w:rsidR="00AB0A1E" w:rsidRDefault="00BF2576" w:rsidP="00AB0A1E">
      <w:pPr>
        <w:pStyle w:val="Defaul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Announcements and </w:t>
      </w:r>
      <w:r w:rsidR="00AB0A1E" w:rsidRPr="004F7559">
        <w:rPr>
          <w:b/>
          <w:bCs/>
        </w:rPr>
        <w:t>Closing Comments</w:t>
      </w:r>
    </w:p>
    <w:p w14:paraId="6C278E1A" w14:textId="60584C7B" w:rsidR="004F7559" w:rsidRDefault="004F7559" w:rsidP="00193463">
      <w:pPr>
        <w:pStyle w:val="Default"/>
      </w:pPr>
    </w:p>
    <w:p w14:paraId="4FD66F02" w14:textId="5BA57253" w:rsidR="00AB0A1E" w:rsidRPr="004F7559" w:rsidRDefault="0057062A" w:rsidP="00D0031A">
      <w:pPr>
        <w:pStyle w:val="Default"/>
        <w:ind w:left="720"/>
      </w:pPr>
      <w:r>
        <w:lastRenderedPageBreak/>
        <w:t xml:space="preserve">Roz Tucker, ARC, </w:t>
      </w:r>
      <w:r w:rsidR="009D6BA3">
        <w:t>reminded attendees of the upcoming</w:t>
      </w:r>
      <w:r w:rsidR="000E276E">
        <w:t xml:space="preserve"> Association for Commuter Transportation</w:t>
      </w:r>
      <w:r w:rsidR="00D0031A">
        <w:t xml:space="preserve"> (ACT) </w:t>
      </w:r>
      <w:r w:rsidR="00A943CF">
        <w:t xml:space="preserve">Forum in Atlanta on November </w:t>
      </w:r>
      <w:r w:rsidR="00916898">
        <w:t>15-16</w:t>
      </w:r>
      <w:r w:rsidR="00D0031A">
        <w:t xml:space="preserve">. </w:t>
      </w:r>
      <w:r w:rsidR="00BF2BB6">
        <w:t xml:space="preserve">Additionally, </w:t>
      </w:r>
      <w:r w:rsidR="001C3B21">
        <w:t>Tucker mentioned the State of the Region event on October 28</w:t>
      </w:r>
      <w:r w:rsidR="001C3B21" w:rsidRPr="001C3B21">
        <w:rPr>
          <w:vertAlign w:val="superscript"/>
        </w:rPr>
        <w:t>th</w:t>
      </w:r>
      <w:r w:rsidR="001C3B21">
        <w:t xml:space="preserve"> and that</w:t>
      </w:r>
      <w:r w:rsidR="00D0031A">
        <w:t xml:space="preserve"> </w:t>
      </w:r>
      <w:r w:rsidR="00BE32F1">
        <w:t>the</w:t>
      </w:r>
      <w:r w:rsidR="00D0031A">
        <w:t xml:space="preserve"> ARC </w:t>
      </w:r>
      <w:r w:rsidR="00B93F8C">
        <w:t>will be p</w:t>
      </w:r>
      <w:r w:rsidR="00D0031A">
        <w:t xml:space="preserve">osting an </w:t>
      </w:r>
      <w:r w:rsidR="00B93F8C">
        <w:t xml:space="preserve">RFP for </w:t>
      </w:r>
      <w:r w:rsidR="00D0031A">
        <w:t xml:space="preserve">the </w:t>
      </w:r>
      <w:r w:rsidR="00B93F8C">
        <w:t>G</w:t>
      </w:r>
      <w:r w:rsidR="00D0031A">
        <w:t xml:space="preserve">eorgia </w:t>
      </w:r>
      <w:r w:rsidR="00B93F8C">
        <w:t>C</w:t>
      </w:r>
      <w:r w:rsidR="00D0031A">
        <w:t>ommute Options (GCO)</w:t>
      </w:r>
      <w:r w:rsidR="00B93F8C">
        <w:t xml:space="preserve"> program in fourth quarter</w:t>
      </w:r>
      <w:r w:rsidR="00ED6C35">
        <w:t xml:space="preserve"> of 2022</w:t>
      </w:r>
      <w:r w:rsidR="00B93F8C">
        <w:t xml:space="preserve">. </w:t>
      </w:r>
      <w:r>
        <w:t xml:space="preserve"> </w:t>
      </w:r>
      <w:r w:rsidR="00AB0A1E" w:rsidRPr="004F7559">
        <w:t xml:space="preserve"> </w:t>
      </w:r>
    </w:p>
    <w:p w14:paraId="706D7777" w14:textId="77777777" w:rsidR="00AB0A1E" w:rsidRPr="004F7559" w:rsidRDefault="00AB0A1E" w:rsidP="00AB0A1E">
      <w:pPr>
        <w:pStyle w:val="Default"/>
        <w:ind w:left="720"/>
      </w:pPr>
    </w:p>
    <w:p w14:paraId="670477EE" w14:textId="33A0ED95" w:rsidR="00AB0A1E" w:rsidRDefault="00AB0A1E" w:rsidP="005612E8">
      <w:pPr>
        <w:pStyle w:val="Default"/>
        <w:ind w:firstLine="720"/>
        <w:rPr>
          <w:b/>
          <w:bCs/>
        </w:rPr>
      </w:pPr>
      <w:r w:rsidRPr="004F7559">
        <w:rPr>
          <w:b/>
          <w:bCs/>
        </w:rPr>
        <w:t xml:space="preserve">Adjourned. </w:t>
      </w:r>
    </w:p>
    <w:p w14:paraId="3179DD7F" w14:textId="2D3A7BD2" w:rsidR="00AB0A1E" w:rsidRDefault="00AB0A1E" w:rsidP="00AB0A1E">
      <w:pPr>
        <w:pStyle w:val="Default"/>
        <w:rPr>
          <w:b/>
          <w:bCs/>
        </w:rPr>
      </w:pPr>
    </w:p>
    <w:p w14:paraId="37AD0074" w14:textId="77777777" w:rsidR="001C6FA4" w:rsidRPr="004F7559" w:rsidRDefault="001C6FA4" w:rsidP="00AB0A1E">
      <w:pPr>
        <w:pStyle w:val="Default"/>
        <w:rPr>
          <w:b/>
          <w:bCs/>
        </w:rPr>
      </w:pPr>
    </w:p>
    <w:p w14:paraId="2B332A87" w14:textId="77777777" w:rsidR="00AB0A1E" w:rsidRPr="004F7559" w:rsidRDefault="00AB0A1E" w:rsidP="00AB0A1E">
      <w:pPr>
        <w:pStyle w:val="Default"/>
        <w:rPr>
          <w:b/>
          <w:bCs/>
        </w:rPr>
      </w:pPr>
      <w:r w:rsidRPr="004F7559">
        <w:rPr>
          <w:b/>
          <w:bCs/>
        </w:rPr>
        <w:t>Meeting Materials</w:t>
      </w:r>
    </w:p>
    <w:p w14:paraId="2022D9BC" w14:textId="160A737D" w:rsidR="00AB0A1E" w:rsidRDefault="000024AE" w:rsidP="00E82E0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E32F1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8</w:t>
      </w:r>
      <w:r w:rsidR="00987859">
        <w:rPr>
          <w:rFonts w:ascii="Times New Roman" w:hAnsi="Times New Roman" w:cs="Times New Roman"/>
          <w:sz w:val="24"/>
          <w:szCs w:val="24"/>
        </w:rPr>
        <w:t>-2022 TDMCC Meeting Agenda</w:t>
      </w:r>
    </w:p>
    <w:p w14:paraId="4066CFB2" w14:textId="360EBBAF" w:rsidR="00313501" w:rsidRPr="007039BE" w:rsidRDefault="000024AE" w:rsidP="007039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E32F1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8</w:t>
      </w:r>
      <w:r w:rsidR="00987859" w:rsidRPr="007039BE">
        <w:rPr>
          <w:rFonts w:ascii="Times New Roman" w:hAnsi="Times New Roman" w:cs="Times New Roman"/>
          <w:sz w:val="24"/>
          <w:szCs w:val="24"/>
        </w:rPr>
        <w:t xml:space="preserve">-2022 TDMCC TDM </w:t>
      </w:r>
      <w:r w:rsidR="007039BE" w:rsidRPr="007039BE">
        <w:rPr>
          <w:rFonts w:ascii="Times New Roman" w:hAnsi="Times New Roman" w:cs="Times New Roman"/>
          <w:sz w:val="24"/>
          <w:szCs w:val="24"/>
        </w:rPr>
        <w:t>CC Presentation</w:t>
      </w:r>
    </w:p>
    <w:sectPr w:rsidR="00313501" w:rsidRPr="007039BE" w:rsidSect="000670A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0AB16" w14:textId="77777777" w:rsidR="00083396" w:rsidRDefault="00083396">
      <w:pPr>
        <w:spacing w:after="0" w:line="240" w:lineRule="auto"/>
      </w:pPr>
      <w:r>
        <w:separator/>
      </w:r>
    </w:p>
  </w:endnote>
  <w:endnote w:type="continuationSeparator" w:id="0">
    <w:p w14:paraId="525387D0" w14:textId="77777777" w:rsidR="00083396" w:rsidRDefault="00083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690E0" w14:textId="77777777" w:rsidR="00083396" w:rsidRDefault="00083396">
      <w:pPr>
        <w:spacing w:after="0" w:line="240" w:lineRule="auto"/>
      </w:pPr>
      <w:r>
        <w:separator/>
      </w:r>
    </w:p>
  </w:footnote>
  <w:footnote w:type="continuationSeparator" w:id="0">
    <w:p w14:paraId="210574D3" w14:textId="77777777" w:rsidR="00083396" w:rsidRDefault="00083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7CC72" w14:textId="1E5E0854" w:rsidR="00FD39BB" w:rsidRDefault="00CF13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3021E"/>
    <w:multiLevelType w:val="hybridMultilevel"/>
    <w:tmpl w:val="2286DC1C"/>
    <w:lvl w:ilvl="0" w:tplc="0A023492">
      <w:start w:val="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0A4361"/>
    <w:multiLevelType w:val="hybridMultilevel"/>
    <w:tmpl w:val="5BC02E2A"/>
    <w:lvl w:ilvl="0" w:tplc="23885D4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BD3347"/>
    <w:multiLevelType w:val="hybridMultilevel"/>
    <w:tmpl w:val="2ADC9716"/>
    <w:lvl w:ilvl="0" w:tplc="2C4A8B22">
      <w:start w:val="2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6C1C43"/>
    <w:multiLevelType w:val="hybridMultilevel"/>
    <w:tmpl w:val="C3D2E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C6DD0"/>
    <w:multiLevelType w:val="hybridMultilevel"/>
    <w:tmpl w:val="8CF05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145E7"/>
    <w:multiLevelType w:val="hybridMultilevel"/>
    <w:tmpl w:val="8628162C"/>
    <w:lvl w:ilvl="0" w:tplc="F11E8C9A">
      <w:start w:val="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0A6C23"/>
    <w:multiLevelType w:val="hybridMultilevel"/>
    <w:tmpl w:val="6C7E7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5619996">
    <w:abstractNumId w:val="4"/>
  </w:num>
  <w:num w:numId="2" w16cid:durableId="1228960063">
    <w:abstractNumId w:val="3"/>
  </w:num>
  <w:num w:numId="3" w16cid:durableId="510413244">
    <w:abstractNumId w:val="6"/>
  </w:num>
  <w:num w:numId="4" w16cid:durableId="51084829">
    <w:abstractNumId w:val="1"/>
  </w:num>
  <w:num w:numId="5" w16cid:durableId="102964071">
    <w:abstractNumId w:val="2"/>
  </w:num>
  <w:num w:numId="6" w16cid:durableId="676154369">
    <w:abstractNumId w:val="5"/>
  </w:num>
  <w:num w:numId="7" w16cid:durableId="1079911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s-E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A1E"/>
    <w:rsid w:val="000024AE"/>
    <w:rsid w:val="000063F9"/>
    <w:rsid w:val="00007458"/>
    <w:rsid w:val="00023A73"/>
    <w:rsid w:val="00042935"/>
    <w:rsid w:val="00042ACD"/>
    <w:rsid w:val="00046745"/>
    <w:rsid w:val="00051C1C"/>
    <w:rsid w:val="00054345"/>
    <w:rsid w:val="000551A7"/>
    <w:rsid w:val="00062EB1"/>
    <w:rsid w:val="000640B9"/>
    <w:rsid w:val="000670AE"/>
    <w:rsid w:val="00076875"/>
    <w:rsid w:val="00081487"/>
    <w:rsid w:val="00083396"/>
    <w:rsid w:val="0008575E"/>
    <w:rsid w:val="00093AFA"/>
    <w:rsid w:val="00094300"/>
    <w:rsid w:val="0009476D"/>
    <w:rsid w:val="000A3D5E"/>
    <w:rsid w:val="000A3D71"/>
    <w:rsid w:val="000A553F"/>
    <w:rsid w:val="000B2B8A"/>
    <w:rsid w:val="000B60BC"/>
    <w:rsid w:val="000B6853"/>
    <w:rsid w:val="000E102F"/>
    <w:rsid w:val="000E276E"/>
    <w:rsid w:val="000E54E2"/>
    <w:rsid w:val="000E7110"/>
    <w:rsid w:val="000F24EB"/>
    <w:rsid w:val="000F29AE"/>
    <w:rsid w:val="00102796"/>
    <w:rsid w:val="001058BF"/>
    <w:rsid w:val="00110DA6"/>
    <w:rsid w:val="00123608"/>
    <w:rsid w:val="00125128"/>
    <w:rsid w:val="00136709"/>
    <w:rsid w:val="001402E8"/>
    <w:rsid w:val="001428A7"/>
    <w:rsid w:val="00157C1B"/>
    <w:rsid w:val="00157E71"/>
    <w:rsid w:val="00163643"/>
    <w:rsid w:val="001637A7"/>
    <w:rsid w:val="001720FC"/>
    <w:rsid w:val="00181C9A"/>
    <w:rsid w:val="00184AF4"/>
    <w:rsid w:val="001850B0"/>
    <w:rsid w:val="00193463"/>
    <w:rsid w:val="001A1B25"/>
    <w:rsid w:val="001B0B6D"/>
    <w:rsid w:val="001B76AF"/>
    <w:rsid w:val="001B7A79"/>
    <w:rsid w:val="001C1252"/>
    <w:rsid w:val="001C2082"/>
    <w:rsid w:val="001C3B21"/>
    <w:rsid w:val="001C48DF"/>
    <w:rsid w:val="001C4CB8"/>
    <w:rsid w:val="001C6422"/>
    <w:rsid w:val="001C6FA4"/>
    <w:rsid w:val="001E3A9B"/>
    <w:rsid w:val="001F49F2"/>
    <w:rsid w:val="0021398E"/>
    <w:rsid w:val="0022112A"/>
    <w:rsid w:val="002307BB"/>
    <w:rsid w:val="0024207C"/>
    <w:rsid w:val="00242A34"/>
    <w:rsid w:val="0025224B"/>
    <w:rsid w:val="00252E47"/>
    <w:rsid w:val="00254048"/>
    <w:rsid w:val="002551D6"/>
    <w:rsid w:val="0026389D"/>
    <w:rsid w:val="00273199"/>
    <w:rsid w:val="00274DDD"/>
    <w:rsid w:val="002756B4"/>
    <w:rsid w:val="00276C6A"/>
    <w:rsid w:val="00280C6F"/>
    <w:rsid w:val="0028466C"/>
    <w:rsid w:val="002921D6"/>
    <w:rsid w:val="002951C5"/>
    <w:rsid w:val="002A4B42"/>
    <w:rsid w:val="002B0538"/>
    <w:rsid w:val="002B557F"/>
    <w:rsid w:val="002B5DB0"/>
    <w:rsid w:val="002C381E"/>
    <w:rsid w:val="002C5106"/>
    <w:rsid w:val="002D3BBF"/>
    <w:rsid w:val="002D6E01"/>
    <w:rsid w:val="002E4CB9"/>
    <w:rsid w:val="002F0F95"/>
    <w:rsid w:val="002F3B72"/>
    <w:rsid w:val="002F649B"/>
    <w:rsid w:val="0030441B"/>
    <w:rsid w:val="00311303"/>
    <w:rsid w:val="00311BB0"/>
    <w:rsid w:val="00313C3D"/>
    <w:rsid w:val="003307E6"/>
    <w:rsid w:val="00350596"/>
    <w:rsid w:val="00361FB5"/>
    <w:rsid w:val="00362207"/>
    <w:rsid w:val="00370765"/>
    <w:rsid w:val="00371564"/>
    <w:rsid w:val="0037581A"/>
    <w:rsid w:val="003805C5"/>
    <w:rsid w:val="00383BDD"/>
    <w:rsid w:val="003877F1"/>
    <w:rsid w:val="00391A82"/>
    <w:rsid w:val="00394439"/>
    <w:rsid w:val="003957D2"/>
    <w:rsid w:val="00395A00"/>
    <w:rsid w:val="003A44C9"/>
    <w:rsid w:val="003B03AA"/>
    <w:rsid w:val="003B12C2"/>
    <w:rsid w:val="003C20AD"/>
    <w:rsid w:val="003D423E"/>
    <w:rsid w:val="003D5FFE"/>
    <w:rsid w:val="003E203F"/>
    <w:rsid w:val="003F1BA9"/>
    <w:rsid w:val="004042D2"/>
    <w:rsid w:val="00406BA9"/>
    <w:rsid w:val="00411EB8"/>
    <w:rsid w:val="004177E1"/>
    <w:rsid w:val="00421BAA"/>
    <w:rsid w:val="00430D82"/>
    <w:rsid w:val="0043255C"/>
    <w:rsid w:val="00443627"/>
    <w:rsid w:val="00443C46"/>
    <w:rsid w:val="004478D4"/>
    <w:rsid w:val="00453F05"/>
    <w:rsid w:val="0045669B"/>
    <w:rsid w:val="00474BDD"/>
    <w:rsid w:val="004879BC"/>
    <w:rsid w:val="004B023A"/>
    <w:rsid w:val="004B6D45"/>
    <w:rsid w:val="004C1220"/>
    <w:rsid w:val="004C20F8"/>
    <w:rsid w:val="004D36FF"/>
    <w:rsid w:val="004D4B85"/>
    <w:rsid w:val="004D58F8"/>
    <w:rsid w:val="004E3AFD"/>
    <w:rsid w:val="004E3DA8"/>
    <w:rsid w:val="004F0E80"/>
    <w:rsid w:val="004F1AA4"/>
    <w:rsid w:val="004F3A34"/>
    <w:rsid w:val="004F64B2"/>
    <w:rsid w:val="004F717B"/>
    <w:rsid w:val="004F7559"/>
    <w:rsid w:val="00507130"/>
    <w:rsid w:val="005127CE"/>
    <w:rsid w:val="005204C7"/>
    <w:rsid w:val="00522A5A"/>
    <w:rsid w:val="005241F1"/>
    <w:rsid w:val="00530C49"/>
    <w:rsid w:val="00547C65"/>
    <w:rsid w:val="00551506"/>
    <w:rsid w:val="005536FA"/>
    <w:rsid w:val="0055648B"/>
    <w:rsid w:val="005612E8"/>
    <w:rsid w:val="00562496"/>
    <w:rsid w:val="0057062A"/>
    <w:rsid w:val="005735EA"/>
    <w:rsid w:val="0058211E"/>
    <w:rsid w:val="00582D40"/>
    <w:rsid w:val="00592720"/>
    <w:rsid w:val="00595B89"/>
    <w:rsid w:val="00597012"/>
    <w:rsid w:val="005B39C5"/>
    <w:rsid w:val="005B3B44"/>
    <w:rsid w:val="005B5CE9"/>
    <w:rsid w:val="005C345B"/>
    <w:rsid w:val="005C62E7"/>
    <w:rsid w:val="005D624C"/>
    <w:rsid w:val="005E1821"/>
    <w:rsid w:val="005E669B"/>
    <w:rsid w:val="005E6C51"/>
    <w:rsid w:val="005F4E8A"/>
    <w:rsid w:val="00613DFD"/>
    <w:rsid w:val="00614249"/>
    <w:rsid w:val="006148B3"/>
    <w:rsid w:val="00631614"/>
    <w:rsid w:val="00632BC4"/>
    <w:rsid w:val="00632EEB"/>
    <w:rsid w:val="006475D2"/>
    <w:rsid w:val="00650E5E"/>
    <w:rsid w:val="00652545"/>
    <w:rsid w:val="00653C2E"/>
    <w:rsid w:val="00654F5C"/>
    <w:rsid w:val="006557C1"/>
    <w:rsid w:val="006610EE"/>
    <w:rsid w:val="006616E3"/>
    <w:rsid w:val="006644E4"/>
    <w:rsid w:val="0066667E"/>
    <w:rsid w:val="00674E39"/>
    <w:rsid w:val="00694CE9"/>
    <w:rsid w:val="006958CA"/>
    <w:rsid w:val="00697168"/>
    <w:rsid w:val="00697A7B"/>
    <w:rsid w:val="006A5844"/>
    <w:rsid w:val="006B5059"/>
    <w:rsid w:val="006D041D"/>
    <w:rsid w:val="006D2D69"/>
    <w:rsid w:val="006D7A8B"/>
    <w:rsid w:val="006E7186"/>
    <w:rsid w:val="006F3D33"/>
    <w:rsid w:val="006F5297"/>
    <w:rsid w:val="00700A1F"/>
    <w:rsid w:val="00701E4F"/>
    <w:rsid w:val="007039BE"/>
    <w:rsid w:val="00706D3B"/>
    <w:rsid w:val="0070774F"/>
    <w:rsid w:val="00720FE5"/>
    <w:rsid w:val="007238FA"/>
    <w:rsid w:val="007241EF"/>
    <w:rsid w:val="00725010"/>
    <w:rsid w:val="007268EB"/>
    <w:rsid w:val="0073045E"/>
    <w:rsid w:val="00730FEF"/>
    <w:rsid w:val="0074276E"/>
    <w:rsid w:val="00745DB3"/>
    <w:rsid w:val="0075460C"/>
    <w:rsid w:val="00756861"/>
    <w:rsid w:val="0076462C"/>
    <w:rsid w:val="00770EF5"/>
    <w:rsid w:val="00773ABE"/>
    <w:rsid w:val="00774414"/>
    <w:rsid w:val="00774BC0"/>
    <w:rsid w:val="00781A35"/>
    <w:rsid w:val="00785EB8"/>
    <w:rsid w:val="00785F53"/>
    <w:rsid w:val="007925EE"/>
    <w:rsid w:val="007A03DC"/>
    <w:rsid w:val="007A100D"/>
    <w:rsid w:val="007A2530"/>
    <w:rsid w:val="007B04E2"/>
    <w:rsid w:val="007B070B"/>
    <w:rsid w:val="007C45FB"/>
    <w:rsid w:val="007C69D2"/>
    <w:rsid w:val="007C7ACA"/>
    <w:rsid w:val="007D0D26"/>
    <w:rsid w:val="007D239F"/>
    <w:rsid w:val="007D6054"/>
    <w:rsid w:val="007D7D4C"/>
    <w:rsid w:val="007E2AF6"/>
    <w:rsid w:val="007E47F2"/>
    <w:rsid w:val="007E666F"/>
    <w:rsid w:val="007F0318"/>
    <w:rsid w:val="007F123C"/>
    <w:rsid w:val="00803542"/>
    <w:rsid w:val="00805E05"/>
    <w:rsid w:val="00812AB8"/>
    <w:rsid w:val="00814936"/>
    <w:rsid w:val="00814A85"/>
    <w:rsid w:val="00822532"/>
    <w:rsid w:val="00844EB6"/>
    <w:rsid w:val="0084648E"/>
    <w:rsid w:val="00855894"/>
    <w:rsid w:val="00855CED"/>
    <w:rsid w:val="008560A5"/>
    <w:rsid w:val="00857035"/>
    <w:rsid w:val="00863AC2"/>
    <w:rsid w:val="00864A7E"/>
    <w:rsid w:val="008733AF"/>
    <w:rsid w:val="00881CFF"/>
    <w:rsid w:val="00885D8A"/>
    <w:rsid w:val="0089060A"/>
    <w:rsid w:val="0089115F"/>
    <w:rsid w:val="008925AD"/>
    <w:rsid w:val="008A20AF"/>
    <w:rsid w:val="008B1BA7"/>
    <w:rsid w:val="008C0E17"/>
    <w:rsid w:val="008C26C5"/>
    <w:rsid w:val="008D012D"/>
    <w:rsid w:val="008D1BE6"/>
    <w:rsid w:val="008D5357"/>
    <w:rsid w:val="008D6F22"/>
    <w:rsid w:val="008E352F"/>
    <w:rsid w:val="008E628E"/>
    <w:rsid w:val="008F3657"/>
    <w:rsid w:val="008F439B"/>
    <w:rsid w:val="00903510"/>
    <w:rsid w:val="00910B96"/>
    <w:rsid w:val="00911BF3"/>
    <w:rsid w:val="0091248C"/>
    <w:rsid w:val="00916898"/>
    <w:rsid w:val="00927B8B"/>
    <w:rsid w:val="009413DB"/>
    <w:rsid w:val="00952F31"/>
    <w:rsid w:val="00984670"/>
    <w:rsid w:val="00987859"/>
    <w:rsid w:val="00990DC8"/>
    <w:rsid w:val="00997792"/>
    <w:rsid w:val="009A0853"/>
    <w:rsid w:val="009A3431"/>
    <w:rsid w:val="009A4DEA"/>
    <w:rsid w:val="009A7A0B"/>
    <w:rsid w:val="009A7A8F"/>
    <w:rsid w:val="009D6BA3"/>
    <w:rsid w:val="009E0521"/>
    <w:rsid w:val="009E7F3A"/>
    <w:rsid w:val="009F74E6"/>
    <w:rsid w:val="009F7C19"/>
    <w:rsid w:val="00A05198"/>
    <w:rsid w:val="00A05DEB"/>
    <w:rsid w:val="00A06432"/>
    <w:rsid w:val="00A17E22"/>
    <w:rsid w:val="00A20B5A"/>
    <w:rsid w:val="00A2256B"/>
    <w:rsid w:val="00A30746"/>
    <w:rsid w:val="00A307A0"/>
    <w:rsid w:val="00A30C07"/>
    <w:rsid w:val="00A32A08"/>
    <w:rsid w:val="00A419A5"/>
    <w:rsid w:val="00A51ECE"/>
    <w:rsid w:val="00A57324"/>
    <w:rsid w:val="00A576F5"/>
    <w:rsid w:val="00A57A25"/>
    <w:rsid w:val="00A643C7"/>
    <w:rsid w:val="00A7657A"/>
    <w:rsid w:val="00A90DFA"/>
    <w:rsid w:val="00A92D3B"/>
    <w:rsid w:val="00A943CF"/>
    <w:rsid w:val="00AB0A1E"/>
    <w:rsid w:val="00AB1AD0"/>
    <w:rsid w:val="00AB683E"/>
    <w:rsid w:val="00AC4F67"/>
    <w:rsid w:val="00AD15CF"/>
    <w:rsid w:val="00AF117D"/>
    <w:rsid w:val="00AF28CE"/>
    <w:rsid w:val="00B11881"/>
    <w:rsid w:val="00B160A3"/>
    <w:rsid w:val="00B163E8"/>
    <w:rsid w:val="00B165DB"/>
    <w:rsid w:val="00B22366"/>
    <w:rsid w:val="00B25356"/>
    <w:rsid w:val="00B254E5"/>
    <w:rsid w:val="00B27D31"/>
    <w:rsid w:val="00B476C7"/>
    <w:rsid w:val="00B52E86"/>
    <w:rsid w:val="00B55CE2"/>
    <w:rsid w:val="00B7374B"/>
    <w:rsid w:val="00B75A7B"/>
    <w:rsid w:val="00B75EB5"/>
    <w:rsid w:val="00B76B69"/>
    <w:rsid w:val="00B77B0D"/>
    <w:rsid w:val="00B8098C"/>
    <w:rsid w:val="00B8331E"/>
    <w:rsid w:val="00B86A81"/>
    <w:rsid w:val="00B9096F"/>
    <w:rsid w:val="00B93F8C"/>
    <w:rsid w:val="00BA2FB0"/>
    <w:rsid w:val="00BA3610"/>
    <w:rsid w:val="00BA7D48"/>
    <w:rsid w:val="00BB4AF2"/>
    <w:rsid w:val="00BB5D97"/>
    <w:rsid w:val="00BB5ED1"/>
    <w:rsid w:val="00BC251F"/>
    <w:rsid w:val="00BC28BF"/>
    <w:rsid w:val="00BC3062"/>
    <w:rsid w:val="00BE31C4"/>
    <w:rsid w:val="00BE32F1"/>
    <w:rsid w:val="00BE37A1"/>
    <w:rsid w:val="00BF2576"/>
    <w:rsid w:val="00BF2942"/>
    <w:rsid w:val="00BF2BB6"/>
    <w:rsid w:val="00BF3828"/>
    <w:rsid w:val="00C03366"/>
    <w:rsid w:val="00C12939"/>
    <w:rsid w:val="00C159F4"/>
    <w:rsid w:val="00C253A9"/>
    <w:rsid w:val="00C37931"/>
    <w:rsid w:val="00C45029"/>
    <w:rsid w:val="00C54865"/>
    <w:rsid w:val="00C62BFC"/>
    <w:rsid w:val="00C76D22"/>
    <w:rsid w:val="00C82753"/>
    <w:rsid w:val="00C93B8C"/>
    <w:rsid w:val="00C93E41"/>
    <w:rsid w:val="00C9523F"/>
    <w:rsid w:val="00CA511F"/>
    <w:rsid w:val="00CB0400"/>
    <w:rsid w:val="00CC2568"/>
    <w:rsid w:val="00CC4793"/>
    <w:rsid w:val="00CD0F17"/>
    <w:rsid w:val="00CD6F1B"/>
    <w:rsid w:val="00CD7661"/>
    <w:rsid w:val="00CE45B1"/>
    <w:rsid w:val="00CE4DE4"/>
    <w:rsid w:val="00CF13B5"/>
    <w:rsid w:val="00D0031A"/>
    <w:rsid w:val="00D01F84"/>
    <w:rsid w:val="00D22A3E"/>
    <w:rsid w:val="00D235D4"/>
    <w:rsid w:val="00D4046D"/>
    <w:rsid w:val="00D4447E"/>
    <w:rsid w:val="00D46A47"/>
    <w:rsid w:val="00D61345"/>
    <w:rsid w:val="00D70551"/>
    <w:rsid w:val="00D71BA4"/>
    <w:rsid w:val="00D73310"/>
    <w:rsid w:val="00D81005"/>
    <w:rsid w:val="00D8481F"/>
    <w:rsid w:val="00D92264"/>
    <w:rsid w:val="00DB438A"/>
    <w:rsid w:val="00DB4760"/>
    <w:rsid w:val="00DD08BE"/>
    <w:rsid w:val="00DD1B7A"/>
    <w:rsid w:val="00DD1F3F"/>
    <w:rsid w:val="00DF418C"/>
    <w:rsid w:val="00DF755C"/>
    <w:rsid w:val="00E0519A"/>
    <w:rsid w:val="00E3684F"/>
    <w:rsid w:val="00E502AA"/>
    <w:rsid w:val="00E575FB"/>
    <w:rsid w:val="00E61A70"/>
    <w:rsid w:val="00E62D4D"/>
    <w:rsid w:val="00E6549B"/>
    <w:rsid w:val="00E75079"/>
    <w:rsid w:val="00E7609A"/>
    <w:rsid w:val="00E81E5C"/>
    <w:rsid w:val="00E82764"/>
    <w:rsid w:val="00E82E04"/>
    <w:rsid w:val="00E85B78"/>
    <w:rsid w:val="00E97033"/>
    <w:rsid w:val="00E978CC"/>
    <w:rsid w:val="00EA54E6"/>
    <w:rsid w:val="00EB31B8"/>
    <w:rsid w:val="00EB5576"/>
    <w:rsid w:val="00EB65BB"/>
    <w:rsid w:val="00EB7A01"/>
    <w:rsid w:val="00EC3154"/>
    <w:rsid w:val="00ED150F"/>
    <w:rsid w:val="00ED4B59"/>
    <w:rsid w:val="00ED6C35"/>
    <w:rsid w:val="00ED756E"/>
    <w:rsid w:val="00EE4837"/>
    <w:rsid w:val="00EF092E"/>
    <w:rsid w:val="00EF567A"/>
    <w:rsid w:val="00EF70E7"/>
    <w:rsid w:val="00F043AC"/>
    <w:rsid w:val="00F056F6"/>
    <w:rsid w:val="00F06725"/>
    <w:rsid w:val="00F11962"/>
    <w:rsid w:val="00F13D31"/>
    <w:rsid w:val="00F25DE3"/>
    <w:rsid w:val="00F310EA"/>
    <w:rsid w:val="00F32819"/>
    <w:rsid w:val="00F3663F"/>
    <w:rsid w:val="00F46ED0"/>
    <w:rsid w:val="00F63E81"/>
    <w:rsid w:val="00F704F6"/>
    <w:rsid w:val="00F746B1"/>
    <w:rsid w:val="00F81DC9"/>
    <w:rsid w:val="00F83CBB"/>
    <w:rsid w:val="00F847C9"/>
    <w:rsid w:val="00FA670E"/>
    <w:rsid w:val="00FA6E78"/>
    <w:rsid w:val="00FB0357"/>
    <w:rsid w:val="00FB0365"/>
    <w:rsid w:val="00FB4447"/>
    <w:rsid w:val="00FB4C41"/>
    <w:rsid w:val="00FB586A"/>
    <w:rsid w:val="00FB79EC"/>
    <w:rsid w:val="00FD2323"/>
    <w:rsid w:val="00FD70DD"/>
    <w:rsid w:val="00FF018B"/>
    <w:rsid w:val="00FF5DE8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AEFB6"/>
  <w15:chartTrackingRefBased/>
  <w15:docId w15:val="{A2F797E2-F9D6-124A-911D-43E06A75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A1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0A1E"/>
  </w:style>
  <w:style w:type="paragraph" w:styleId="Header">
    <w:name w:val="header"/>
    <w:basedOn w:val="Normal"/>
    <w:link w:val="HeaderChar"/>
    <w:uiPriority w:val="99"/>
    <w:unhideWhenUsed/>
    <w:rsid w:val="00AB0A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A1E"/>
    <w:rPr>
      <w:sz w:val="22"/>
      <w:szCs w:val="22"/>
    </w:rPr>
  </w:style>
  <w:style w:type="table" w:styleId="TableGrid">
    <w:name w:val="Table Grid"/>
    <w:basedOn w:val="TableNormal"/>
    <w:uiPriority w:val="39"/>
    <w:rsid w:val="00AB0A1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B0A1E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E82E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68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68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2017F-D3C6-4952-A5A6-DEE7F14F2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778</Words>
  <Characters>4437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Haas</dc:creator>
  <cp:keywords/>
  <dc:description/>
  <cp:lastModifiedBy>Amber Butts</cp:lastModifiedBy>
  <cp:revision>2</cp:revision>
  <dcterms:created xsi:type="dcterms:W3CDTF">2022-10-20T13:06:00Z</dcterms:created>
  <dcterms:modified xsi:type="dcterms:W3CDTF">2022-10-20T13:06:00Z</dcterms:modified>
</cp:coreProperties>
</file>